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9E5" w:rsidRDefault="00B822EA">
      <w:pPr>
        <w:pStyle w:val="AbstractBooktitle"/>
        <w:rPr>
          <w:rStyle w:val="address1"/>
          <w:sz w:val="22"/>
          <w:szCs w:val="22"/>
        </w:rPr>
      </w:pPr>
      <w:bookmarkStart w:id="0" w:name="_GoBack"/>
      <w:bookmarkEnd w:id="0"/>
      <w:r w:rsidRPr="00B822EA">
        <w:rPr>
          <w:rStyle w:val="address1"/>
          <w:sz w:val="22"/>
          <w:szCs w:val="22"/>
        </w:rPr>
        <w:t>Skin thermo-mechanical pain sensation for epidermal electronics</w:t>
      </w:r>
      <w:r w:rsidR="009829E5">
        <w:rPr>
          <w:rStyle w:val="address1"/>
          <w:sz w:val="22"/>
          <w:szCs w:val="22"/>
        </w:rPr>
        <w:t xml:space="preserve"> </w:t>
      </w:r>
    </w:p>
    <w:p w:rsidR="009829E5" w:rsidRPr="00B822EA" w:rsidRDefault="00B822EA">
      <w:pPr>
        <w:pStyle w:val="AbstactBookauthors"/>
        <w:rPr>
          <w:u w:val="single"/>
        </w:rPr>
      </w:pPr>
      <w:r>
        <w:rPr>
          <w:rFonts w:hint="eastAsia"/>
          <w:u w:val="single"/>
          <w:lang w:eastAsia="zh-CN"/>
        </w:rPr>
        <w:t>Yuhang</w:t>
      </w:r>
      <w:r>
        <w:rPr>
          <w:u w:val="single"/>
        </w:rPr>
        <w:t xml:space="preserve"> </w:t>
      </w:r>
      <w:r>
        <w:rPr>
          <w:rFonts w:hint="eastAsia"/>
          <w:u w:val="single"/>
          <w:lang w:eastAsia="zh-CN"/>
        </w:rPr>
        <w:t>Li</w:t>
      </w:r>
      <w:r w:rsidR="009829E5">
        <w:t xml:space="preserve">, </w:t>
      </w:r>
      <w:r>
        <w:t>Yafei Yin</w:t>
      </w:r>
    </w:p>
    <w:p w:rsidR="009829E5" w:rsidRDefault="00B822EA">
      <w:pPr>
        <w:pStyle w:val="AbstractBookaffiliation"/>
      </w:pPr>
      <w:r w:rsidRPr="00B822EA">
        <w:t>Institute of Solid Mechanics, Beihang University (BUAA), Beijing 100191, China.</w:t>
      </w:r>
      <w:r w:rsidR="009829E5">
        <w:br/>
        <w:t>Email:</w:t>
      </w:r>
      <w:r>
        <w:t>liyuhang@buaa.edu.cn</w:t>
      </w:r>
    </w:p>
    <w:p w:rsidR="009829E5" w:rsidRDefault="00B822EA">
      <w:pPr>
        <w:pStyle w:val="AbstractBooktext"/>
      </w:pPr>
      <w:r w:rsidRPr="00B822EA">
        <w:t>The epidermal electronic devices (EEDs) with distinctive adaptability have drawn much attention in many fields, such as biological monitoring and biomedicine [1,2]. Due to the tight contact between exothermic electronics and biological tissue, pain sensation is susceptive to the noxious stimulation, which is critically important for practical application. An axisymmetric analytical heat transfer model is developed to predict temperature distribution in the EED/skin system, accounting for the non-Fourier effect in skin tissues via Dual-Phase-Lag (DPL) model. The phase lag parameters in the model are obtained from the two-temperature model and then validated credibly by a series of experiments with three substrate thicknesses. Furthermore, a holistic theoretical frame is established to build a relationship between pain level and peripheral stimuli from flexible electronics. The frame consists of the thermo-mechanical model for temporal and spatial distribution of temperature and stress, Arrhenius burn model for thermal damage, modified Hodgkin–Huxley model for nociceptor conduction and gate control theory for modulation and perception. It paves the theoretical foundation for comfort design guidelines of EEDs.</w:t>
      </w:r>
    </w:p>
    <w:p w:rsidR="009829E5" w:rsidRDefault="009829E5">
      <w:pPr>
        <w:pStyle w:val="AbstractBooktext"/>
      </w:pPr>
    </w:p>
    <w:p w:rsidR="009829E5" w:rsidRDefault="00545A49">
      <w:pPr>
        <w:pStyle w:val="AbstractBookcaption"/>
        <w:jc w:val="center"/>
      </w:pPr>
      <w:r w:rsidRPr="00B822EA">
        <w:rPr>
          <w:noProof/>
          <w:sz w:val="22"/>
          <w:szCs w:val="22"/>
        </w:rPr>
        <w:drawing>
          <wp:inline distT="0" distB="0" distL="0" distR="0">
            <wp:extent cx="3943350" cy="28765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2876550"/>
                    </a:xfrm>
                    <a:prstGeom prst="rect">
                      <a:avLst/>
                    </a:prstGeom>
                    <a:noFill/>
                    <a:ln>
                      <a:noFill/>
                    </a:ln>
                  </pic:spPr>
                </pic:pic>
              </a:graphicData>
            </a:graphic>
          </wp:inline>
        </w:drawing>
      </w:r>
    </w:p>
    <w:p w:rsidR="009829E5" w:rsidRDefault="009829E5" w:rsidP="00B822EA">
      <w:pPr>
        <w:pStyle w:val="AbstractBookcaption"/>
        <w:ind w:leftChars="50" w:left="120" w:firstLineChars="1900" w:firstLine="3800"/>
      </w:pPr>
      <w:r>
        <w:t xml:space="preserve">Fig1. </w:t>
      </w:r>
      <w:r w:rsidR="00B822EA" w:rsidRPr="00B822EA">
        <w:t>Skin pain pathway</w:t>
      </w:r>
      <w:r>
        <w:t>.</w:t>
      </w:r>
    </w:p>
    <w:p w:rsidR="009829E5" w:rsidRDefault="009829E5">
      <w:pPr>
        <w:pStyle w:val="AbstractBookcaption"/>
        <w:rPr>
          <w:lang w:val="en-US"/>
        </w:rPr>
      </w:pPr>
    </w:p>
    <w:p w:rsidR="00B822EA" w:rsidRPr="00B822EA" w:rsidRDefault="00B822EA" w:rsidP="00B822EA">
      <w:pPr>
        <w:pStyle w:val="AbstractBookreference"/>
        <w:numPr>
          <w:ilvl w:val="0"/>
          <w:numId w:val="2"/>
        </w:numPr>
        <w:tabs>
          <w:tab w:val="left" w:pos="284"/>
        </w:tabs>
      </w:pPr>
      <w:r>
        <w:t xml:space="preserve">T. I. </w:t>
      </w:r>
      <w:r w:rsidRPr="00B822EA">
        <w:t>Kim,</w:t>
      </w:r>
      <w:r>
        <w:t xml:space="preserve"> J. G.</w:t>
      </w:r>
      <w:r w:rsidRPr="00B822EA">
        <w:t xml:space="preserve"> McCall,</w:t>
      </w:r>
      <w:r>
        <w:t xml:space="preserve"> Y. H.</w:t>
      </w:r>
      <w:r w:rsidRPr="00B822EA">
        <w:t xml:space="preserve"> Jung,</w:t>
      </w:r>
      <w:r>
        <w:t xml:space="preserve"> X.</w:t>
      </w:r>
      <w:r w:rsidRPr="00B822EA">
        <w:t xml:space="preserve"> Huang,</w:t>
      </w:r>
      <w:r>
        <w:t xml:space="preserve"> E. R.</w:t>
      </w:r>
      <w:r w:rsidRPr="00B822EA">
        <w:t xml:space="preserve"> Siuda,</w:t>
      </w:r>
      <w:r>
        <w:t xml:space="preserve"> Y.</w:t>
      </w:r>
      <w:r w:rsidRPr="00B822EA">
        <w:t xml:space="preserve"> Li</w:t>
      </w:r>
      <w:r>
        <w:t xml:space="preserve"> and</w:t>
      </w:r>
      <w:r w:rsidRPr="00B822EA">
        <w:t xml:space="preserve"> et al. Injectable, cellular-scale optoelectronics with applications for wireless optogenetics. </w:t>
      </w:r>
      <w:r w:rsidRPr="00B822EA">
        <w:rPr>
          <w:i/>
        </w:rPr>
        <w:t xml:space="preserve">Science </w:t>
      </w:r>
      <w:r w:rsidRPr="00B822EA">
        <w:t xml:space="preserve">  </w:t>
      </w:r>
      <w:r w:rsidRPr="00B822EA">
        <w:rPr>
          <w:b/>
        </w:rPr>
        <w:t>340</w:t>
      </w:r>
      <w:r>
        <w:t>,</w:t>
      </w:r>
      <w:r w:rsidRPr="00B822EA">
        <w:t xml:space="preserve"> 211</w:t>
      </w:r>
      <w:r>
        <w:t xml:space="preserve"> (</w:t>
      </w:r>
      <w:r w:rsidRPr="00B822EA">
        <w:t>2013</w:t>
      </w:r>
      <w:r>
        <w:t>)</w:t>
      </w:r>
      <w:r w:rsidRPr="00B822EA">
        <w:t>.</w:t>
      </w:r>
    </w:p>
    <w:p w:rsidR="009829E5" w:rsidRDefault="00B822EA" w:rsidP="00B822EA">
      <w:pPr>
        <w:pStyle w:val="AbstractBookreference"/>
        <w:numPr>
          <w:ilvl w:val="0"/>
          <w:numId w:val="2"/>
        </w:numPr>
        <w:tabs>
          <w:tab w:val="left" w:pos="284"/>
        </w:tabs>
      </w:pPr>
      <w:r>
        <w:t xml:space="preserve">H. </w:t>
      </w:r>
      <w:r w:rsidRPr="00B822EA">
        <w:t>Lee,</w:t>
      </w:r>
      <w:r>
        <w:t xml:space="preserve"> T. K.</w:t>
      </w:r>
      <w:r w:rsidRPr="00B822EA">
        <w:t xml:space="preserve"> Choi,</w:t>
      </w:r>
      <w:r>
        <w:t xml:space="preserve"> Y. B.</w:t>
      </w:r>
      <w:r w:rsidRPr="00B822EA">
        <w:t xml:space="preserve"> Lee,</w:t>
      </w:r>
      <w:r>
        <w:t xml:space="preserve"> H. R.</w:t>
      </w:r>
      <w:r w:rsidRPr="00B822EA">
        <w:t xml:space="preserve"> Cho,</w:t>
      </w:r>
      <w:r>
        <w:t xml:space="preserve"> R.</w:t>
      </w:r>
      <w:r w:rsidRPr="00B822EA">
        <w:t xml:space="preserve"> Ghaffari,</w:t>
      </w:r>
      <w:r>
        <w:t xml:space="preserve"> L.</w:t>
      </w:r>
      <w:r w:rsidRPr="00B822EA">
        <w:t xml:space="preserve"> Wang</w:t>
      </w:r>
      <w:r>
        <w:t xml:space="preserve"> and</w:t>
      </w:r>
      <w:r w:rsidRPr="00B822EA">
        <w:t xml:space="preserve"> et al. A graphene-based electrochemical device with thermoresponsive microneedles for diabetes monitoring and therapy. </w:t>
      </w:r>
      <w:r w:rsidRPr="00B822EA">
        <w:rPr>
          <w:i/>
        </w:rPr>
        <w:t>Nature Nanotechnology</w:t>
      </w:r>
      <w:r w:rsidRPr="00B822EA">
        <w:t xml:space="preserve"> </w:t>
      </w:r>
      <w:r w:rsidRPr="00B822EA">
        <w:rPr>
          <w:b/>
        </w:rPr>
        <w:t>11</w:t>
      </w:r>
      <w:r>
        <w:t xml:space="preserve">, </w:t>
      </w:r>
      <w:r w:rsidRPr="00B822EA">
        <w:t>566</w:t>
      </w:r>
      <w:r>
        <w:t xml:space="preserve"> (</w:t>
      </w:r>
      <w:r w:rsidRPr="00B822EA">
        <w:t>2016</w:t>
      </w:r>
      <w:r>
        <w:t>)</w:t>
      </w:r>
      <w:r w:rsidRPr="00B822EA">
        <w:t>.</w:t>
      </w:r>
    </w:p>
    <w:p w:rsidR="009829E5" w:rsidRDefault="009829E5">
      <w:pPr>
        <w:pStyle w:val="AbstractBookreference"/>
        <w:numPr>
          <w:ilvl w:val="0"/>
          <w:numId w:val="0"/>
        </w:numPr>
        <w:tabs>
          <w:tab w:val="left" w:pos="284"/>
        </w:tabs>
        <w:ind w:left="284" w:hanging="284"/>
      </w:pPr>
    </w:p>
    <w:p w:rsidR="009829E5" w:rsidRDefault="009829E5">
      <w:pPr>
        <w:pStyle w:val="AbstractBookreference"/>
        <w:numPr>
          <w:ilvl w:val="0"/>
          <w:numId w:val="0"/>
        </w:numPr>
        <w:tabs>
          <w:tab w:val="left" w:pos="284"/>
        </w:tabs>
        <w:ind w:left="284" w:hanging="284"/>
        <w:rPr>
          <w:lang w:eastAsia="zh-CN"/>
        </w:rPr>
      </w:pPr>
    </w:p>
    <w:p w:rsidR="00EB74CA" w:rsidRDefault="00EB74CA">
      <w:pPr>
        <w:pStyle w:val="AbstractBookreference"/>
        <w:numPr>
          <w:ilvl w:val="0"/>
          <w:numId w:val="0"/>
        </w:numPr>
        <w:tabs>
          <w:tab w:val="left" w:pos="284"/>
        </w:tabs>
        <w:ind w:left="284" w:hanging="284"/>
        <w:rPr>
          <w:lang w:eastAsia="zh-CN"/>
        </w:rPr>
      </w:pPr>
    </w:p>
    <w:p w:rsidR="00EB74CA" w:rsidRDefault="00EB74CA">
      <w:pPr>
        <w:pStyle w:val="AbstractBookreference"/>
        <w:numPr>
          <w:ilvl w:val="0"/>
          <w:numId w:val="0"/>
        </w:numPr>
        <w:tabs>
          <w:tab w:val="left" w:pos="284"/>
        </w:tabs>
        <w:ind w:left="284" w:hanging="284"/>
        <w:rPr>
          <w:lang w:eastAsia="zh-CN"/>
        </w:rPr>
      </w:pPr>
    </w:p>
    <w:p w:rsidR="00EB74CA" w:rsidRDefault="00EB74CA">
      <w:pPr>
        <w:pStyle w:val="AbstractBookreference"/>
        <w:numPr>
          <w:ilvl w:val="0"/>
          <w:numId w:val="0"/>
        </w:numPr>
        <w:tabs>
          <w:tab w:val="left" w:pos="284"/>
        </w:tabs>
        <w:ind w:left="284" w:hanging="284"/>
        <w:rPr>
          <w:lang w:eastAsia="zh-CN"/>
        </w:rPr>
      </w:pPr>
    </w:p>
    <w:p w:rsidR="00EB74CA" w:rsidRDefault="00EB74CA">
      <w:pPr>
        <w:pStyle w:val="AbstractBookreference"/>
        <w:numPr>
          <w:ilvl w:val="0"/>
          <w:numId w:val="0"/>
        </w:numPr>
        <w:tabs>
          <w:tab w:val="left" w:pos="284"/>
        </w:tabs>
        <w:ind w:left="284" w:hanging="284"/>
        <w:rPr>
          <w:lang w:eastAsia="zh-CN"/>
        </w:rPr>
      </w:pPr>
    </w:p>
    <w:p w:rsidR="00EB74CA" w:rsidRDefault="00EB74CA">
      <w:pPr>
        <w:pStyle w:val="AbstractBookreference"/>
        <w:numPr>
          <w:ilvl w:val="0"/>
          <w:numId w:val="0"/>
        </w:numPr>
        <w:tabs>
          <w:tab w:val="left" w:pos="284"/>
        </w:tabs>
        <w:ind w:left="284" w:hanging="284"/>
        <w:rPr>
          <w:lang w:eastAsia="zh-CN"/>
        </w:rPr>
      </w:pPr>
    </w:p>
    <w:p w:rsidR="00EB74CA" w:rsidRDefault="00EB74CA">
      <w:pPr>
        <w:pStyle w:val="AbstractBookreference"/>
        <w:numPr>
          <w:ilvl w:val="0"/>
          <w:numId w:val="0"/>
        </w:numPr>
        <w:tabs>
          <w:tab w:val="left" w:pos="284"/>
        </w:tabs>
        <w:ind w:left="284" w:hanging="284"/>
        <w:rPr>
          <w:lang w:eastAsia="zh-CN"/>
        </w:rPr>
      </w:pPr>
    </w:p>
    <w:p w:rsidR="00EB74CA" w:rsidRDefault="00EB74CA">
      <w:pPr>
        <w:pStyle w:val="AbstractBookreference"/>
        <w:numPr>
          <w:ilvl w:val="0"/>
          <w:numId w:val="0"/>
        </w:numPr>
        <w:tabs>
          <w:tab w:val="left" w:pos="284"/>
        </w:tabs>
        <w:ind w:left="284" w:hanging="284"/>
        <w:rPr>
          <w:rFonts w:hint="eastAsia"/>
          <w:lang w:eastAsia="zh-CN"/>
        </w:rPr>
      </w:pPr>
    </w:p>
    <w:p w:rsidR="009829E5" w:rsidRDefault="009829E5">
      <w:pPr>
        <w:pStyle w:val="AbstractBookreference"/>
        <w:numPr>
          <w:ilvl w:val="0"/>
          <w:numId w:val="0"/>
        </w:numPr>
        <w:tabs>
          <w:tab w:val="left" w:pos="284"/>
        </w:tabs>
        <w:ind w:left="284" w:hanging="284"/>
        <w:rPr>
          <w:rFonts w:hint="eastAsia"/>
          <w:lang w:eastAsia="zh-CN"/>
        </w:rPr>
      </w:pPr>
    </w:p>
    <w:p w:rsidR="009829E5" w:rsidRPr="00E4575D" w:rsidRDefault="009829E5">
      <w:pPr>
        <w:pStyle w:val="AbstractBookreference"/>
        <w:numPr>
          <w:ilvl w:val="0"/>
          <w:numId w:val="0"/>
        </w:numPr>
        <w:tabs>
          <w:tab w:val="left" w:pos="284"/>
        </w:tabs>
        <w:rPr>
          <w:lang w:val="ru-RU"/>
        </w:rPr>
      </w:pPr>
    </w:p>
    <w:sectPr w:rsidR="009829E5" w:rsidRPr="00E4575D">
      <w:pgSz w:w="11906" w:h="16838"/>
      <w:pgMar w:top="1152" w:right="1152" w:bottom="1152" w:left="1152" w:header="706"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896" w:rsidRDefault="004E6896" w:rsidP="00B822EA">
      <w:r>
        <w:separator/>
      </w:r>
    </w:p>
  </w:endnote>
  <w:endnote w:type="continuationSeparator" w:id="0">
    <w:p w:rsidR="004E6896" w:rsidRDefault="004E6896" w:rsidP="00B8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896" w:rsidRDefault="004E6896" w:rsidP="00B822EA">
      <w:r>
        <w:separator/>
      </w:r>
    </w:p>
  </w:footnote>
  <w:footnote w:type="continuationSeparator" w:id="0">
    <w:p w:rsidR="004E6896" w:rsidRDefault="004E6896" w:rsidP="00B82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4373E"/>
    <w:multiLevelType w:val="multilevel"/>
    <w:tmpl w:val="4FD4373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6C"/>
    <w:rsid w:val="000062F6"/>
    <w:rsid w:val="0000674D"/>
    <w:rsid w:val="00045F83"/>
    <w:rsid w:val="00053F89"/>
    <w:rsid w:val="000E6104"/>
    <w:rsid w:val="00104DE4"/>
    <w:rsid w:val="001445A5"/>
    <w:rsid w:val="00144E82"/>
    <w:rsid w:val="001701F9"/>
    <w:rsid w:val="001B0F0A"/>
    <w:rsid w:val="001C7ED5"/>
    <w:rsid w:val="001E04AC"/>
    <w:rsid w:val="001F1478"/>
    <w:rsid w:val="001F1818"/>
    <w:rsid w:val="0020716C"/>
    <w:rsid w:val="00276CDB"/>
    <w:rsid w:val="002C47F0"/>
    <w:rsid w:val="003017E6"/>
    <w:rsid w:val="00304DA1"/>
    <w:rsid w:val="0032620A"/>
    <w:rsid w:val="00336EE2"/>
    <w:rsid w:val="0034213F"/>
    <w:rsid w:val="0035189F"/>
    <w:rsid w:val="003577CA"/>
    <w:rsid w:val="00361971"/>
    <w:rsid w:val="00380529"/>
    <w:rsid w:val="00397F3C"/>
    <w:rsid w:val="003A2767"/>
    <w:rsid w:val="003A4D99"/>
    <w:rsid w:val="00400354"/>
    <w:rsid w:val="0040703B"/>
    <w:rsid w:val="0041748C"/>
    <w:rsid w:val="004414D2"/>
    <w:rsid w:val="004D58C1"/>
    <w:rsid w:val="004E6896"/>
    <w:rsid w:val="00545A49"/>
    <w:rsid w:val="005C14B5"/>
    <w:rsid w:val="00647755"/>
    <w:rsid w:val="00661475"/>
    <w:rsid w:val="006660A5"/>
    <w:rsid w:val="006812FB"/>
    <w:rsid w:val="006A42B1"/>
    <w:rsid w:val="006B7639"/>
    <w:rsid w:val="006B7B42"/>
    <w:rsid w:val="00701244"/>
    <w:rsid w:val="00724BED"/>
    <w:rsid w:val="00752B7C"/>
    <w:rsid w:val="00752C63"/>
    <w:rsid w:val="007B117C"/>
    <w:rsid w:val="007C3AC1"/>
    <w:rsid w:val="007D040F"/>
    <w:rsid w:val="007D1C3F"/>
    <w:rsid w:val="007E6012"/>
    <w:rsid w:val="007E7304"/>
    <w:rsid w:val="0080700B"/>
    <w:rsid w:val="008463F0"/>
    <w:rsid w:val="008551E0"/>
    <w:rsid w:val="00865859"/>
    <w:rsid w:val="00877C1B"/>
    <w:rsid w:val="008A56C1"/>
    <w:rsid w:val="008B148F"/>
    <w:rsid w:val="008C527D"/>
    <w:rsid w:val="008D0CC8"/>
    <w:rsid w:val="008E151C"/>
    <w:rsid w:val="00902A51"/>
    <w:rsid w:val="009416B4"/>
    <w:rsid w:val="0096290C"/>
    <w:rsid w:val="00967540"/>
    <w:rsid w:val="00967A8A"/>
    <w:rsid w:val="0097196B"/>
    <w:rsid w:val="009829E5"/>
    <w:rsid w:val="009A65DA"/>
    <w:rsid w:val="009C4370"/>
    <w:rsid w:val="009D3E1A"/>
    <w:rsid w:val="009F2D31"/>
    <w:rsid w:val="00A24951"/>
    <w:rsid w:val="00A34F73"/>
    <w:rsid w:val="00A42840"/>
    <w:rsid w:val="00A916D1"/>
    <w:rsid w:val="00AF366A"/>
    <w:rsid w:val="00B15501"/>
    <w:rsid w:val="00B16D99"/>
    <w:rsid w:val="00B23F87"/>
    <w:rsid w:val="00B663BE"/>
    <w:rsid w:val="00B822EA"/>
    <w:rsid w:val="00B87194"/>
    <w:rsid w:val="00BC57E6"/>
    <w:rsid w:val="00BC65AD"/>
    <w:rsid w:val="00BE0421"/>
    <w:rsid w:val="00C146AF"/>
    <w:rsid w:val="00C157CE"/>
    <w:rsid w:val="00C22947"/>
    <w:rsid w:val="00C475CF"/>
    <w:rsid w:val="00C75C8D"/>
    <w:rsid w:val="00CB5CC3"/>
    <w:rsid w:val="00CB7426"/>
    <w:rsid w:val="00CC3888"/>
    <w:rsid w:val="00CF5F0D"/>
    <w:rsid w:val="00D25BFB"/>
    <w:rsid w:val="00D400F1"/>
    <w:rsid w:val="00D51A09"/>
    <w:rsid w:val="00D91969"/>
    <w:rsid w:val="00DA51E0"/>
    <w:rsid w:val="00DB0EA4"/>
    <w:rsid w:val="00DC18A3"/>
    <w:rsid w:val="00DC30F0"/>
    <w:rsid w:val="00DE0B23"/>
    <w:rsid w:val="00E02206"/>
    <w:rsid w:val="00E16A06"/>
    <w:rsid w:val="00E27D8B"/>
    <w:rsid w:val="00E37A81"/>
    <w:rsid w:val="00E4575D"/>
    <w:rsid w:val="00E762BE"/>
    <w:rsid w:val="00E777B1"/>
    <w:rsid w:val="00E80D76"/>
    <w:rsid w:val="00E86509"/>
    <w:rsid w:val="00EA1E2B"/>
    <w:rsid w:val="00EB0720"/>
    <w:rsid w:val="00EB61CC"/>
    <w:rsid w:val="00EB74CA"/>
    <w:rsid w:val="00EC56BC"/>
    <w:rsid w:val="00F26795"/>
    <w:rsid w:val="00F36901"/>
    <w:rsid w:val="00F421A4"/>
    <w:rsid w:val="00F47DF0"/>
    <w:rsid w:val="00F572EF"/>
    <w:rsid w:val="00F611D5"/>
    <w:rsid w:val="00F67173"/>
    <w:rsid w:val="00F93D1B"/>
    <w:rsid w:val="00FF696E"/>
    <w:rsid w:val="0772255A"/>
    <w:rsid w:val="2D650032"/>
    <w:rsid w:val="34F61CBE"/>
    <w:rsid w:val="3B180D11"/>
    <w:rsid w:val="453B5CCE"/>
    <w:rsid w:val="76785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442B33-9F4B-46D7-80F9-C9D4C376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ddress">
    <w:name w:val="address"/>
    <w:basedOn w:val="a0"/>
  </w:style>
  <w:style w:type="character" w:customStyle="1" w:styleId="address1">
    <w:name w:val="address1"/>
    <w:rPr>
      <w:rFonts w:ascii="Times New Roman" w:hAnsi="Times New Roman" w:cs="Times New Roman" w:hint="default"/>
      <w:sz w:val="21"/>
      <w:szCs w:val="21"/>
    </w:rPr>
  </w:style>
  <w:style w:type="character" w:styleId="a3">
    <w:name w:val="Hyperlink"/>
    <w:rPr>
      <w:color w:val="0000FF"/>
      <w:u w:val="single"/>
    </w:rPr>
  </w:style>
  <w:style w:type="character" w:styleId="a4">
    <w:name w:val="annotation reference"/>
    <w:semiHidden/>
    <w:rPr>
      <w:sz w:val="16"/>
      <w:szCs w:val="16"/>
    </w:rPr>
  </w:style>
  <w:style w:type="paragraph" w:customStyle="1" w:styleId="AbstractBookreference">
    <w:name w:val="AbstractBook reference"/>
    <w:basedOn w:val="a"/>
    <w:pPr>
      <w:numPr>
        <w:numId w:val="1"/>
      </w:numPr>
      <w:tabs>
        <w:tab w:val="left" w:pos="284"/>
      </w:tabs>
      <w:jc w:val="both"/>
    </w:pPr>
    <w:rPr>
      <w:sz w:val="22"/>
      <w:szCs w:val="22"/>
      <w:lang w:eastAsia="ru-RU"/>
    </w:rPr>
  </w:style>
  <w:style w:type="paragraph" w:styleId="a5">
    <w:name w:val="Title"/>
    <w:basedOn w:val="a"/>
    <w:next w:val="a6"/>
    <w:qFormat/>
    <w:pPr>
      <w:keepNext/>
      <w:keepLines/>
      <w:widowControl w:val="0"/>
      <w:suppressAutoHyphens/>
      <w:spacing w:line="360" w:lineRule="auto"/>
      <w:jc w:val="center"/>
    </w:pPr>
    <w:rPr>
      <w:rFonts w:ascii="Times" w:eastAsia="Times" w:hAnsi="Times"/>
      <w:b/>
      <w:szCs w:val="20"/>
      <w:lang/>
    </w:rPr>
  </w:style>
  <w:style w:type="paragraph" w:customStyle="1" w:styleId="AbstactBookauthors">
    <w:name w:val="AbstactBook authors"/>
    <w:basedOn w:val="a"/>
    <w:next w:val="AbstractBookaffiliation"/>
    <w:pPr>
      <w:spacing w:after="120"/>
    </w:pPr>
    <w:rPr>
      <w:sz w:val="22"/>
      <w:szCs w:val="22"/>
      <w:lang w:eastAsia="ru-RU"/>
    </w:rPr>
  </w:style>
  <w:style w:type="paragraph" w:styleId="a7">
    <w:name w:val="annotation text"/>
    <w:basedOn w:val="a"/>
    <w:semiHidden/>
    <w:rPr>
      <w:sz w:val="20"/>
      <w:szCs w:val="20"/>
    </w:rPr>
  </w:style>
  <w:style w:type="paragraph" w:styleId="a6">
    <w:name w:val="Subtitle"/>
    <w:basedOn w:val="a"/>
    <w:qFormat/>
    <w:pPr>
      <w:spacing w:after="60"/>
      <w:jc w:val="center"/>
      <w:outlineLvl w:val="1"/>
    </w:pPr>
    <w:rPr>
      <w:rFonts w:ascii="Arial" w:hAnsi="Arial" w:cs="Arial"/>
    </w:rPr>
  </w:style>
  <w:style w:type="paragraph" w:styleId="a8">
    <w:name w:val="Balloon Text"/>
    <w:basedOn w:val="a"/>
    <w:semiHidden/>
    <w:rPr>
      <w:rFonts w:ascii="Tahoma" w:hAnsi="Tahoma" w:cs="Tahoma"/>
      <w:sz w:val="16"/>
      <w:szCs w:val="16"/>
    </w:rPr>
  </w:style>
  <w:style w:type="paragraph" w:styleId="a9">
    <w:name w:val="header"/>
    <w:basedOn w:val="a"/>
    <w:pPr>
      <w:tabs>
        <w:tab w:val="center" w:pos="4320"/>
        <w:tab w:val="right" w:pos="8640"/>
      </w:tabs>
    </w:pPr>
  </w:style>
  <w:style w:type="paragraph" w:styleId="aa">
    <w:name w:val="footer"/>
    <w:basedOn w:val="a"/>
    <w:pPr>
      <w:tabs>
        <w:tab w:val="center" w:pos="4677"/>
        <w:tab w:val="right" w:pos="9355"/>
      </w:tabs>
    </w:pPr>
    <w:rPr>
      <w:lang w:val="ru-RU" w:eastAsia="ru-RU"/>
    </w:rPr>
  </w:style>
  <w:style w:type="paragraph" w:customStyle="1" w:styleId="AbstractBookfigure">
    <w:name w:val="AbstractBook figure"/>
    <w:basedOn w:val="a"/>
    <w:next w:val="AbstractBookcaption"/>
    <w:pPr>
      <w:spacing w:before="120" w:line="360" w:lineRule="auto"/>
      <w:jc w:val="center"/>
    </w:pPr>
    <w:rPr>
      <w:sz w:val="22"/>
      <w:szCs w:val="22"/>
      <w:lang w:val="en-GB" w:eastAsia="ru-RU"/>
    </w:rPr>
  </w:style>
  <w:style w:type="paragraph" w:customStyle="1" w:styleId="AbstractBookcaption">
    <w:name w:val="AbstractBook caption"/>
    <w:basedOn w:val="a"/>
    <w:pPr>
      <w:spacing w:after="120"/>
      <w:ind w:left="799" w:hanging="799"/>
      <w:jc w:val="both"/>
    </w:pPr>
    <w:rPr>
      <w:sz w:val="20"/>
      <w:szCs w:val="20"/>
      <w:lang w:val="en-GB" w:eastAsia="ru-RU"/>
    </w:rPr>
  </w:style>
  <w:style w:type="paragraph" w:styleId="ab">
    <w:name w:val="annotation subject"/>
    <w:basedOn w:val="a7"/>
    <w:next w:val="a7"/>
    <w:semiHidden/>
    <w:rPr>
      <w:b/>
      <w:bCs/>
    </w:rPr>
  </w:style>
  <w:style w:type="paragraph" w:customStyle="1" w:styleId="AbstractBooktext">
    <w:name w:val="AbstractBook text"/>
    <w:basedOn w:val="a"/>
    <w:pPr>
      <w:spacing w:after="60"/>
      <w:ind w:firstLine="539"/>
      <w:jc w:val="both"/>
    </w:pPr>
    <w:rPr>
      <w:sz w:val="22"/>
      <w:szCs w:val="22"/>
      <w:lang w:eastAsia="ru-RU"/>
    </w:rPr>
  </w:style>
  <w:style w:type="paragraph" w:customStyle="1" w:styleId="AbstractBooktitle">
    <w:name w:val="AbstractBook title"/>
    <w:basedOn w:val="1"/>
    <w:next w:val="AbstactBookauthors"/>
    <w:pPr>
      <w:spacing w:before="0" w:after="120"/>
    </w:pPr>
    <w:rPr>
      <w:rFonts w:ascii="Times New Roman" w:hAnsi="Times New Roman"/>
      <w:sz w:val="22"/>
      <w:szCs w:val="22"/>
      <w:lang w:eastAsia="ru-RU"/>
    </w:rPr>
  </w:style>
  <w:style w:type="paragraph" w:customStyle="1" w:styleId="AbstractBookaffiliation">
    <w:name w:val="AbstractBook affiliation"/>
    <w:basedOn w:val="a"/>
    <w:next w:val="a"/>
    <w:pPr>
      <w:spacing w:after="120"/>
    </w:pPr>
    <w:rPr>
      <w:i/>
      <w:sz w:val="20"/>
      <w:szCs w:val="20"/>
      <w:lang w:eastAsia="ru-RU"/>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Company>University of Arkansas</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Abstract</dc:title>
  <dc:subject/>
  <dc:creator>BO-KUAI LAI</dc:creator>
  <cp:keywords/>
  <cp:lastModifiedBy>LYH</cp:lastModifiedBy>
  <cp:revision>2</cp:revision>
  <dcterms:created xsi:type="dcterms:W3CDTF">2019-05-10T01:18:00Z</dcterms:created>
  <dcterms:modified xsi:type="dcterms:W3CDTF">2019-05-10T01:18:00Z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